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FE" w:rsidRDefault="003B71FE" w:rsidP="003B71F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003CF6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Pr="00003CF6">
        <w:rPr>
          <w:rFonts w:ascii="Times New Roman" w:hAnsi="Times New Roman" w:cs="Times New Roman"/>
          <w:b w:val="0"/>
          <w:sz w:val="28"/>
          <w:szCs w:val="28"/>
        </w:rPr>
        <w:br/>
        <w:t>Подпрограммы "Мероприятия по переселению граждан из жилищного фонда, признанного непригодным для проживания" (далее - подпрограмма).</w:t>
      </w:r>
    </w:p>
    <w:p w:rsidR="00F06DC9" w:rsidRPr="00F06DC9" w:rsidRDefault="00F06DC9" w:rsidP="00F06DC9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5"/>
        <w:gridCol w:w="6663"/>
      </w:tblGrid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Кураторы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Заместитель Главы Златоустовского городского округа по строительству,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Заместитель Главы Златоустовского городского округа по имуществу и финансам,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Заместитель Главы Златоустовского городского округа по инфраструктуре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241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  <w:bookmarkEnd w:id="0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Орган местного самоуправления "Комитет по управлению имуществом Златоустовского городского округа, Муниципальное казенное учреждение Златоустовского городского округа "Управление жилищно-коммунального хозяйства"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7652963"/>
            <w:bookmarkStart w:id="2" w:name="_Hlk179190053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1) создание на территории Златоустовского городского округа условий для переселения граждан из аварийных многоквартирных домов;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bookmarkEnd w:id="1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в Златоустовском городском округе, признанного в установленном порядке аварийным и подлежащим сносу.</w:t>
            </w:r>
            <w:bookmarkEnd w:id="2"/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77653034"/>
            <w:bookmarkStart w:id="4" w:name="_Hlk179190077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1) формирование жилищного фонда, необходимого для переселения граждан из аварийного жилищного фонда</w:t>
            </w:r>
            <w:bookmarkEnd w:id="3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71FE" w:rsidRPr="00003CF6" w:rsidRDefault="003B71FE" w:rsidP="003B71FE"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2) снос жилых домов, признанных аварийными, и жилых домов с высоким (более 70 процентов) уровнем износа.</w:t>
            </w:r>
            <w:bookmarkEnd w:id="4"/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Целевые (индикаторы) показатели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266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1) строительство и (или) приобретение жилья для переселения граждан из жилищного фонда, признанного непригодным для проживания, тыс. кв. метров</w:t>
            </w:r>
            <w:bookmarkEnd w:id="5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71FE" w:rsidRPr="00003CF6" w:rsidRDefault="003B71FE" w:rsidP="003B71FE">
            <w:pPr>
              <w:pStyle w:val="a5"/>
              <w:ind w:left="3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6" w:name="sub_1267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</w:t>
            </w:r>
            <w:bookmarkEnd w:id="6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семей;</w:t>
            </w:r>
          </w:p>
          <w:p w:rsidR="003B71FE" w:rsidRPr="00003CF6" w:rsidRDefault="003B71FE" w:rsidP="003B71FE">
            <w:pPr>
              <w:pStyle w:val="a5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242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3) снос ветхо-аварийного жилья, тыс. кв. метров</w:t>
            </w:r>
            <w:bookmarkEnd w:id="7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271"/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Pr="00003C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подпрограммы</w:t>
            </w:r>
            <w:bookmarkEnd w:id="8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2025-2027 годы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204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финансовых ресурсов подпрограммы</w:t>
            </w:r>
            <w:bookmarkEnd w:id="9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в 2025-2027 годах – 241 552,90 тыс. рублей, в том числе за счет: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0,00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областного бюджета – 218 151,20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местного бюджета – 23 401,70 тыс. рублей.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в 2025 году – 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23 183,30 тыс. рублей, в том числе за счёт: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- 0,00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областного бюджета - 0,00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местного бюджета - 23 183,30 тыс. рублей.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в 2026 году – 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109 184,80 тыс. рублей, в том числе за счёт: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- 0,00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областного бюджета - 109 075,60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местного бюджета - 109,20 тыс. рублей.</w:t>
            </w:r>
          </w:p>
          <w:p w:rsidR="003B71FE" w:rsidRPr="00003CF6" w:rsidRDefault="003B71FE" w:rsidP="003B71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подпрограммы в 2027 году – 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109 184,80 тыс. рублей, в том числе за счёт: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- 0,00 тыс. рублей;</w:t>
            </w:r>
          </w:p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областного бюджета – 109 184,80 тыс. рублей;</w:t>
            </w:r>
          </w:p>
          <w:p w:rsidR="003B71FE" w:rsidRPr="00003CF6" w:rsidRDefault="003B71FE" w:rsidP="003B71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местного бюджета – 109,20 тыс. рублей.</w:t>
            </w:r>
          </w:p>
        </w:tc>
      </w:tr>
      <w:tr w:rsidR="003B71FE" w:rsidRPr="00003CF6" w:rsidTr="003B71FE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1273"/>
            <w:bookmarkStart w:id="11" w:name="_Hlk177655164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1) количество </w:t>
            </w:r>
            <w:proofErr w:type="gramStart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семей, улучшивших жилищные условия составит</w:t>
            </w:r>
            <w:proofErr w:type="gramEnd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 семей</w:t>
            </w:r>
            <w:bookmarkEnd w:id="10"/>
            <w:r w:rsidRPr="00003C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B71FE" w:rsidRPr="00003CF6" w:rsidRDefault="003B71FE" w:rsidP="003B71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243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2) общая площадь снесенного </w:t>
            </w:r>
            <w:proofErr w:type="spellStart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ветхоаварийного</w:t>
            </w:r>
            <w:proofErr w:type="spellEnd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 xml:space="preserve"> жилого фонда составит 11,004 тыс. кв. метров</w:t>
            </w:r>
            <w:bookmarkEnd w:id="11"/>
            <w:bookmarkEnd w:id="12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06DC9" w:rsidRDefault="00F06DC9" w:rsidP="003B71FE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3B71FE" w:rsidRDefault="003B71FE" w:rsidP="003B71FE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003CF6">
        <w:rPr>
          <w:rFonts w:ascii="Times New Roman" w:hAnsi="Times New Roman" w:cs="Times New Roman"/>
          <w:b w:val="0"/>
          <w:sz w:val="28"/>
          <w:szCs w:val="28"/>
        </w:rPr>
        <w:t>I. Характеристика сферы реализации подпрограммы, описание основных проблем в указанной сфере</w:t>
      </w:r>
    </w:p>
    <w:p w:rsidR="003B71FE" w:rsidRPr="003B71FE" w:rsidRDefault="003B71FE" w:rsidP="003B71FE">
      <w:pPr>
        <w:spacing w:after="0" w:line="240" w:lineRule="auto"/>
      </w:pPr>
    </w:p>
    <w:p w:rsidR="003B71FE" w:rsidRPr="00003CF6" w:rsidRDefault="003B71FE" w:rsidP="003B71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Жилищный фонд, признанный непригодным для проживания, представляет собой одно - двухэтажные строения постройки пятидесятых и ранее годов, не отвечающие установленным санитарным и техническим требованиям. Это жилье построено из строительных материалов с низкой степенью надежности, не удовлетворяющих новым требованиям тепло - и энергосбережения для жилых зданий.</w:t>
      </w:r>
    </w:p>
    <w:p w:rsidR="003B71FE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 xml:space="preserve">Масштаб проблемы переселения граждан Златоустовского городского округа из жилищного фонда, признанного непригодным для проживания, в значительной степени зависит от формирования нормативной правовой базы. </w:t>
      </w:r>
    </w:p>
    <w:p w:rsidR="003B71FE" w:rsidRPr="00003CF6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lastRenderedPageBreak/>
        <w:t>Правовое регулирование вопросов переселения граждан из муниципального жилищного фонда, признанного непригодным для проживания, осуществляется в рамках жилищного законодательства, которое является предметом совместного ведения Российской Федерац</w:t>
      </w:r>
      <w:proofErr w:type="gramStart"/>
      <w:r w:rsidRPr="00003CF6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003CF6">
        <w:rPr>
          <w:rFonts w:ascii="Times New Roman" w:hAnsi="Times New Roman" w:cs="Times New Roman"/>
          <w:sz w:val="28"/>
          <w:szCs w:val="28"/>
        </w:rPr>
        <w:t xml:space="preserve"> субъектов. Государство гарантирует гражданам, проживающим в жилом помещении (доме), не отвечающем установленным санитарным и техническим требованиям, право на получение в пользование жилых помещений по договорам социального найма (</w:t>
      </w:r>
      <w:hyperlink r:id="rId5" w:history="1">
        <w:r w:rsidRPr="00003CF6">
          <w:rPr>
            <w:rStyle w:val="a3"/>
            <w:rFonts w:ascii="Times New Roman" w:hAnsi="Times New Roman"/>
            <w:sz w:val="28"/>
            <w:szCs w:val="28"/>
          </w:rPr>
          <w:t>статья 85</w:t>
        </w:r>
      </w:hyperlink>
      <w:r w:rsidRPr="00003CF6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Федерации). Подпрограмма призвана обеспечить выполнение обязательства государства на реализацию права граждан, проживающих в жилищном фонде, не отвечающем установленным санитарным и техническим требованиям.</w:t>
      </w:r>
    </w:p>
    <w:p w:rsidR="003B71FE" w:rsidRPr="00003CF6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Мероприятия, осуществляемые в рамках Подпрограммы, позволят сократить количество аварийного жилищного фонда Златоустовского городского округа и переселить граждан в новое комфортное жилье, отвечающее санитарным и техническим требованиям.</w:t>
      </w:r>
    </w:p>
    <w:p w:rsidR="003B71FE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Для ликвидации до 2027 года жилищного фонда, имеющего критическую степень износа (более 70 процентов), необходимо снести не менее 48,6376 тыс. кв. метров жилья.</w:t>
      </w:r>
    </w:p>
    <w:p w:rsidR="003B71FE" w:rsidRPr="00003CF6" w:rsidRDefault="003B71FE" w:rsidP="00F06D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FE" w:rsidRDefault="003B71FE" w:rsidP="00F06DC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3" w:name="sub_43"/>
      <w:r w:rsidRPr="00003CF6">
        <w:rPr>
          <w:rFonts w:ascii="Times New Roman" w:hAnsi="Times New Roman" w:cs="Times New Roman"/>
          <w:b w:val="0"/>
          <w:sz w:val="28"/>
          <w:szCs w:val="28"/>
        </w:rPr>
        <w:t>II. Приоритеты муниципальной политики в сфере реализации подпрограммы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3B71FE" w:rsidRPr="003B71FE" w:rsidRDefault="003B71FE" w:rsidP="003B71FE"/>
    <w:p w:rsidR="003B71FE" w:rsidRPr="00003CF6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96"/>
      <w:bookmarkEnd w:id="13"/>
      <w:r w:rsidRPr="00003CF6">
        <w:rPr>
          <w:rFonts w:ascii="Times New Roman" w:hAnsi="Times New Roman" w:cs="Times New Roman"/>
          <w:sz w:val="28"/>
          <w:szCs w:val="28"/>
        </w:rPr>
        <w:t>2. Основными целями подпрограммы являются:</w:t>
      </w:r>
    </w:p>
    <w:p w:rsidR="003B71FE" w:rsidRPr="00003CF6" w:rsidRDefault="003B71FE" w:rsidP="003B71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099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Pr="00003CF6">
        <w:rPr>
          <w:rFonts w:ascii="Times New Roman" w:hAnsi="Times New Roman" w:cs="Times New Roman"/>
          <w:sz w:val="28"/>
          <w:szCs w:val="28"/>
        </w:rPr>
        <w:t>) создание на территории Златоустовского городского округа условий для переселения граждан из аварийных многоквартирных домов;</w:t>
      </w:r>
    </w:p>
    <w:p w:rsidR="003B71FE" w:rsidRPr="00003CF6" w:rsidRDefault="003B71FE" w:rsidP="003B71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 xml:space="preserve">2) уменьшение аварийного жилищного фонда в Златоустовском городском округе, признанного в установленном порядке аварийным и подлежащим сносу.      </w:t>
      </w:r>
    </w:p>
    <w:p w:rsidR="003B71FE" w:rsidRPr="00003CF6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 xml:space="preserve">  3. Основными задачами подпрограммы являются:</w:t>
      </w:r>
    </w:p>
    <w:bookmarkEnd w:id="15"/>
    <w:p w:rsidR="003B71FE" w:rsidRPr="00003CF6" w:rsidRDefault="003B71FE" w:rsidP="003B71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1) формирование жилищного фонда, необходимого для переселения граждан из аварийного жилищного фонда;</w:t>
      </w:r>
    </w:p>
    <w:p w:rsidR="003B71FE" w:rsidRPr="00003CF6" w:rsidRDefault="003B71FE" w:rsidP="003B71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2) снос жилых домов, признанных аварийными, и жилых домов с высоким (более 70 процентов) уровнем износа.</w:t>
      </w:r>
    </w:p>
    <w:p w:rsidR="003B71FE" w:rsidRPr="00003CF6" w:rsidRDefault="003B71FE" w:rsidP="003B7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4. В результате реализации данной подпрограммы планируется достижение следующих целевых индикаторов: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4"/>
        <w:gridCol w:w="708"/>
        <w:gridCol w:w="426"/>
        <w:gridCol w:w="1842"/>
        <w:gridCol w:w="1843"/>
        <w:gridCol w:w="1843"/>
      </w:tblGrid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403"/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  <w:bookmarkEnd w:id="16"/>
          </w:p>
        </w:tc>
      </w:tr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индикативных показателей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Плановые показатели Подпрограммы</w:t>
            </w:r>
          </w:p>
        </w:tc>
      </w:tr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 xml:space="preserve">1. Строительство и (или) приобретение жилья для переселения </w:t>
            </w:r>
            <w:r w:rsidRPr="00003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из жилищного фонда, признанного непригодным для проживания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тыс.кв</w:t>
            </w:r>
            <w:proofErr w:type="gramStart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етров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1,161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1,161</w:t>
            </w:r>
          </w:p>
        </w:tc>
      </w:tr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Снос ветхо-аварийного жилья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тыс.кв</w:t>
            </w:r>
            <w:proofErr w:type="gramStart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11,004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B71FE" w:rsidRPr="00003CF6" w:rsidTr="008F01C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FE" w:rsidRPr="00003CF6" w:rsidRDefault="003B71FE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3. 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71FE" w:rsidRPr="00003CF6" w:rsidRDefault="003B71FE" w:rsidP="003B71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CF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3B71FE" w:rsidRPr="00003CF6" w:rsidRDefault="003B71FE" w:rsidP="003B7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7" w:name="sub_1156"/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5. Реализация подпрограммы приведет к достижению ожидаемых результатов:</w:t>
      </w:r>
    </w:p>
    <w:p w:rsidR="003B71FE" w:rsidRPr="00003CF6" w:rsidRDefault="003B71FE" w:rsidP="008F01C1">
      <w:pPr>
        <w:pStyle w:val="a5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159"/>
      <w:bookmarkEnd w:id="17"/>
      <w:r w:rsidRPr="00003CF6">
        <w:rPr>
          <w:rFonts w:ascii="Times New Roman" w:hAnsi="Times New Roman" w:cs="Times New Roman"/>
          <w:color w:val="000000"/>
          <w:sz w:val="28"/>
          <w:szCs w:val="28"/>
        </w:rPr>
        <w:t xml:space="preserve">1) количество </w:t>
      </w:r>
      <w:proofErr w:type="gramStart"/>
      <w:r w:rsidRPr="00003CF6">
        <w:rPr>
          <w:rFonts w:ascii="Times New Roman" w:hAnsi="Times New Roman" w:cs="Times New Roman"/>
          <w:color w:val="000000"/>
          <w:sz w:val="28"/>
          <w:szCs w:val="28"/>
        </w:rPr>
        <w:t>семей, улучшивших жилищные условия составит</w:t>
      </w:r>
      <w:proofErr w:type="gramEnd"/>
      <w:r w:rsidRPr="00003CF6">
        <w:rPr>
          <w:rFonts w:ascii="Times New Roman" w:hAnsi="Times New Roman" w:cs="Times New Roman"/>
          <w:color w:val="000000"/>
          <w:sz w:val="28"/>
          <w:szCs w:val="28"/>
        </w:rPr>
        <w:t xml:space="preserve"> 66 семей;</w:t>
      </w:r>
    </w:p>
    <w:p w:rsidR="003B71FE" w:rsidRPr="00003CF6" w:rsidRDefault="003B71FE" w:rsidP="008F01C1">
      <w:pPr>
        <w:pStyle w:val="a5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 xml:space="preserve">2) общая площадь снесенного ветхоаварийного жилого фонда составит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03CF6">
        <w:rPr>
          <w:rFonts w:ascii="Times New Roman" w:hAnsi="Times New Roman" w:cs="Times New Roman"/>
          <w:sz w:val="28"/>
          <w:szCs w:val="28"/>
        </w:rPr>
        <w:t>11,004 тыс. кв. метров.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6. Срок реализации подпрограммы: 2025-2027 годы.</w:t>
      </w:r>
    </w:p>
    <w:bookmarkEnd w:id="18"/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Подпрограмма носит постоянный характер.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9" w:name="sub_1160"/>
      <w:r w:rsidRPr="00003CF6">
        <w:rPr>
          <w:rFonts w:ascii="Times New Roman" w:hAnsi="Times New Roman" w:cs="Times New Roman"/>
          <w:bCs/>
          <w:sz w:val="28"/>
          <w:szCs w:val="28"/>
        </w:rPr>
        <w:t>III. Характеристика основных мероприятий подпрограммы</w:t>
      </w:r>
    </w:p>
    <w:bookmarkEnd w:id="19"/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bookmarkStart w:id="20" w:name="sub_1161"/>
      <w:r w:rsidRPr="00003CF6">
        <w:rPr>
          <w:rFonts w:ascii="Times New Roman" w:hAnsi="Times New Roman" w:cs="Times New Roman"/>
          <w:sz w:val="28"/>
          <w:szCs w:val="28"/>
        </w:rPr>
        <w:t xml:space="preserve">7. Перечень основных мероприятий подпрограммы представлен </w:t>
      </w:r>
      <w:r w:rsidRPr="00003CF6">
        <w:rPr>
          <w:rFonts w:ascii="Times New Roman" w:hAnsi="Times New Roman" w:cs="Times New Roman"/>
          <w:color w:val="22272F"/>
          <w:sz w:val="28"/>
          <w:szCs w:val="28"/>
        </w:rPr>
        <w:t>в </w:t>
      </w:r>
      <w:hyperlink r:id="rId6" w:anchor="/document/405778971/entry/1104" w:history="1">
        <w:r w:rsidRPr="00003CF6">
          <w:rPr>
            <w:rFonts w:ascii="Times New Roman" w:hAnsi="Times New Roman" w:cs="Times New Roman"/>
            <w:color w:val="3272C0"/>
            <w:sz w:val="28"/>
            <w:szCs w:val="28"/>
          </w:rPr>
          <w:t>разделе V</w:t>
        </w:r>
      </w:hyperlink>
      <w:r w:rsidRPr="00003CF6">
        <w:rPr>
          <w:rFonts w:ascii="Times New Roman" w:hAnsi="Times New Roman" w:cs="Times New Roman"/>
          <w:color w:val="22272F"/>
          <w:sz w:val="28"/>
          <w:szCs w:val="28"/>
        </w:rPr>
        <w:t> программы.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8. Реестр аварийного жилищного фонда на территории Златоустовского городского округа в приложение к подпрограмме.</w:t>
      </w:r>
      <w:bookmarkEnd w:id="20"/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21" w:name="sub_46"/>
      <w:r w:rsidRPr="00003CF6">
        <w:rPr>
          <w:rFonts w:ascii="Times New Roman" w:hAnsi="Times New Roman" w:cs="Times New Roman"/>
          <w:b w:val="0"/>
          <w:sz w:val="28"/>
          <w:szCs w:val="28"/>
        </w:rPr>
        <w:t>IV. Информация об участии предприятий и организаций, независимо от их организационно-правовой формы собственности, а также внебюджетных фондов, в реализации подпрограммы</w:t>
      </w:r>
    </w:p>
    <w:p w:rsidR="003B71FE" w:rsidRPr="00003CF6" w:rsidRDefault="003B71FE" w:rsidP="008F01C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B71FE" w:rsidRDefault="008F01C1" w:rsidP="008F01C1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3B71FE" w:rsidRPr="00003CF6">
        <w:rPr>
          <w:rFonts w:ascii="Times New Roman" w:hAnsi="Times New Roman" w:cs="Times New Roman"/>
          <w:b w:val="0"/>
          <w:bCs w:val="0"/>
          <w:sz w:val="28"/>
          <w:szCs w:val="28"/>
        </w:rPr>
        <w:t>. Участие предприятий и организаций, независимо от их организационно-правовой формы собственности, а также внебюджетных фондов, в реализации Подпрограммы не предусмотрено.</w:t>
      </w:r>
    </w:p>
    <w:p w:rsidR="003B71FE" w:rsidRPr="00003CF6" w:rsidRDefault="003B71FE" w:rsidP="008F01C1">
      <w:pPr>
        <w:spacing w:after="0" w:line="240" w:lineRule="auto"/>
        <w:ind w:firstLine="709"/>
        <w:jc w:val="both"/>
      </w:pPr>
    </w:p>
    <w:p w:rsidR="003B71FE" w:rsidRPr="00003CF6" w:rsidRDefault="003B71FE" w:rsidP="008F01C1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003CF6">
        <w:rPr>
          <w:rFonts w:ascii="Times New Roman" w:hAnsi="Times New Roman" w:cs="Times New Roman"/>
          <w:b w:val="0"/>
          <w:sz w:val="28"/>
          <w:szCs w:val="28"/>
        </w:rPr>
        <w:t>V. Обоснование объема финансовых ресурсов, необходимых для реализации подпрограммы</w:t>
      </w:r>
    </w:p>
    <w:bookmarkEnd w:id="21"/>
    <w:p w:rsidR="003B71FE" w:rsidRPr="00003CF6" w:rsidRDefault="003B71FE" w:rsidP="008F01C1">
      <w:pPr>
        <w:pStyle w:val="a4"/>
        <w:spacing w:before="0"/>
        <w:ind w:left="0" w:firstLine="709"/>
        <w:rPr>
          <w:rFonts w:ascii="Times New Roman" w:hAnsi="Times New Roman" w:cs="Times New Roman"/>
          <w:sz w:val="28"/>
          <w:szCs w:val="28"/>
          <w:shd w:val="clear" w:color="auto" w:fill="F0F0F0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lastRenderedPageBreak/>
        <w:t>10. Объем финансирования подпрограммы в 2025-2027 годах - 241 552,90 тыс. рублей, в том числе за счет: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федерального бюджета - 0,00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областного бюджета - 218 151,20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местного бюджета - 23 401,70 тыс. рублей.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Объем финансирования подпрограммы в 2025 году - 23 183,30 тыс. рублей, в том числе за счёт: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федерального бюджета - 0,00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областного бюджета - 0,00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местного бюджета - 23 183,30 тыс. рублей.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Объем финансирования подпрограммы в 2026 году - 109 184,80 тыс. рублей, в том числе за счёт: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федерального бюджета - 0,00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областного бюджета - 109 075,60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местного бюджета - 109,20 тыс. рублей.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Объем финансирования подпрограммы в 2027 году - 109 184,80 тыс. рублей, в том числе за счёт: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федерального бюджета - 0,00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областного бюджета - 109 075,60 тыс. рублей;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местного бюджета - 109,20 тыс. рублей.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 xml:space="preserve">Обоснование объемов финансовых ресурсов, необходимых для реализации подпрограммы изложено </w:t>
      </w:r>
      <w:r w:rsidRPr="00003CF6">
        <w:rPr>
          <w:rFonts w:ascii="Times New Roman" w:hAnsi="Times New Roman" w:cs="Times New Roman"/>
          <w:color w:val="22272F"/>
          <w:sz w:val="28"/>
          <w:szCs w:val="28"/>
        </w:rPr>
        <w:t>в </w:t>
      </w:r>
      <w:hyperlink r:id="rId7" w:anchor="/document/405778971/entry/1104" w:history="1">
        <w:r w:rsidRPr="00003CF6">
          <w:rPr>
            <w:rFonts w:ascii="Times New Roman" w:hAnsi="Times New Roman" w:cs="Times New Roman"/>
            <w:color w:val="3272C0"/>
            <w:sz w:val="28"/>
            <w:szCs w:val="28"/>
          </w:rPr>
          <w:t>разделе V</w:t>
        </w:r>
      </w:hyperlink>
      <w:r w:rsidRPr="00003CF6">
        <w:rPr>
          <w:rFonts w:ascii="Times New Roman" w:hAnsi="Times New Roman" w:cs="Times New Roman"/>
          <w:color w:val="22272F"/>
          <w:sz w:val="28"/>
          <w:szCs w:val="28"/>
        </w:rPr>
        <w:t> программы.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bookmarkStart w:id="22" w:name="sub_47"/>
      <w:r w:rsidRPr="00003CF6">
        <w:rPr>
          <w:rFonts w:ascii="Times New Roman" w:hAnsi="Times New Roman" w:cs="Times New Roman"/>
          <w:b w:val="0"/>
          <w:sz w:val="28"/>
          <w:szCs w:val="28"/>
        </w:rPr>
        <w:t>VI. Анализ рисков реализации подпрограммы и описание мер управления рисками реализации подпрограммы</w:t>
      </w:r>
    </w:p>
    <w:bookmarkEnd w:id="22"/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11. При реализации настоящей подпрограммы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подпрограммы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подпрограммы.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Риски реализации подпрограммы можно разделить на две группы: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внутренние - относятся к сфере компетенции ответственного исполнителя подпрограммы и исполнителей мероприятий подпрограммы,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3CF6">
        <w:rPr>
          <w:rFonts w:ascii="Times New Roman" w:hAnsi="Times New Roman" w:cs="Times New Roman"/>
          <w:sz w:val="28"/>
          <w:szCs w:val="28"/>
        </w:rPr>
        <w:t>внешние, наступление или не наступление которых, не зависит от действий ответственного исполнителя подпрограммы.</w:t>
      </w:r>
      <w:proofErr w:type="gramEnd"/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Внутренние риски могут являться следствием: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отсутствия финансирования подпрограммы;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несвоевременных разработок, согласования и принятия документов, обеспечивающих выполнение мероприятий подпрограммы;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lastRenderedPageBreak/>
        <w:t>недостаточной оперативности при наступлении внешних рисков реализации подпрограммы.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Мерами управления внутренними рисками являются: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детальное планирование хода реализации подпрограммы;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оперативный мониторинг выполнения мероприятий подпрограммы, который выполняют ответственные исполнители мероприятий;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своевременная актуализация ежегодных мероприятий реализации подпрограммы, в том числе корректировка состава и сроков исполнения мероприятий с сохранением ожидаемых результатов.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Внешние риски могут являться следствием: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подпрограммой.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В рамках подпрограммы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Анализ и управление риском реализации подпрограммы обеспечивает: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условия, в результате которых можно реализовать мероприятия, предусмотренные подпрограммой на данный период;</w:t>
      </w:r>
    </w:p>
    <w:p w:rsidR="003B71FE" w:rsidRPr="00003CF6" w:rsidRDefault="003B71FE" w:rsidP="008F0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CF6">
        <w:rPr>
          <w:rFonts w:ascii="Times New Roman" w:hAnsi="Times New Roman" w:cs="Times New Roman"/>
          <w:sz w:val="28"/>
          <w:szCs w:val="28"/>
        </w:rPr>
        <w:t>постоянный учет всех факторов риска, влияющих на достижение цели подпрограммы;</w:t>
      </w:r>
    </w:p>
    <w:p w:rsidR="003B71FE" w:rsidRDefault="003B71FE" w:rsidP="008F01C1">
      <w:pPr>
        <w:spacing w:after="0" w:line="240" w:lineRule="auto"/>
        <w:ind w:firstLine="709"/>
        <w:jc w:val="both"/>
      </w:pPr>
      <w:r w:rsidRPr="00003CF6">
        <w:rPr>
          <w:rFonts w:ascii="Times New Roman" w:hAnsi="Times New Roman" w:cs="Times New Roman"/>
          <w:sz w:val="28"/>
          <w:szCs w:val="28"/>
        </w:rPr>
        <w:t>правильный учет факторов риска, их тщательный анализ и разумная политика по управлению ими</w:t>
      </w:r>
    </w:p>
    <w:sectPr w:rsidR="003B7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B44334"/>
    <w:multiLevelType w:val="hybridMultilevel"/>
    <w:tmpl w:val="D97E5848"/>
    <w:lvl w:ilvl="0" w:tplc="7734819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FE"/>
    <w:rsid w:val="003B71FE"/>
    <w:rsid w:val="008F01C1"/>
    <w:rsid w:val="00F0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71F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71FE"/>
    <w:rPr>
      <w:rFonts w:ascii="Arial" w:hAnsi="Arial" w:cs="Arial"/>
      <w:b/>
      <w:bCs/>
      <w:color w:val="26282F"/>
      <w:sz w:val="26"/>
      <w:szCs w:val="26"/>
    </w:rPr>
  </w:style>
  <w:style w:type="character" w:customStyle="1" w:styleId="a3">
    <w:name w:val="Гипертекстовая ссылка"/>
    <w:basedOn w:val="a0"/>
    <w:uiPriority w:val="99"/>
    <w:rsid w:val="003B71FE"/>
    <w:rPr>
      <w:rFonts w:cs="Times New Roman"/>
      <w:color w:val="106BBE"/>
    </w:rPr>
  </w:style>
  <w:style w:type="paragraph" w:customStyle="1" w:styleId="a4">
    <w:name w:val="Информация о версии"/>
    <w:basedOn w:val="a"/>
    <w:next w:val="a"/>
    <w:uiPriority w:val="99"/>
    <w:rsid w:val="003B71F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6"/>
      <w:szCs w:val="26"/>
    </w:rPr>
  </w:style>
  <w:style w:type="paragraph" w:customStyle="1" w:styleId="a5">
    <w:name w:val="Нормальный (таблица)"/>
    <w:basedOn w:val="a"/>
    <w:next w:val="a"/>
    <w:uiPriority w:val="99"/>
    <w:rsid w:val="003B71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6">
    <w:name w:val="Прижатый влево"/>
    <w:basedOn w:val="a"/>
    <w:next w:val="a"/>
    <w:uiPriority w:val="99"/>
    <w:rsid w:val="003B71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document/redirect/12138291/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zgokks</cp:lastModifiedBy>
  <cp:revision>3</cp:revision>
  <dcterms:created xsi:type="dcterms:W3CDTF">2024-10-11T05:06:00Z</dcterms:created>
  <dcterms:modified xsi:type="dcterms:W3CDTF">2024-10-11T05:22:00Z</dcterms:modified>
</cp:coreProperties>
</file>